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before="120" w:beforeLines="50" w:after="120" w:afterLines="50" w:line="24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2020年山东省高校教学名师候选人汇总表</w:t>
      </w:r>
    </w:p>
    <w:p>
      <w:pPr>
        <w:spacing w:before="120" w:beforeLines="50" w:after="120" w:afterLines="50" w:line="520" w:lineRule="exact"/>
        <w:rPr>
          <w:rFonts w:ascii="汉仪书宋一简" w:eastAsia="汉仪书宋一简"/>
          <w:sz w:val="22"/>
          <w:szCs w:val="22"/>
        </w:rPr>
      </w:pPr>
      <w:r>
        <w:rPr>
          <w:rFonts w:hint="eastAsia" w:ascii="汉仪书宋一简" w:hAnsi="宋体" w:eastAsia="汉仪书宋一简"/>
          <w:sz w:val="22"/>
          <w:szCs w:val="22"/>
        </w:rPr>
        <w:t>推荐学校：（公章）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候选人姓名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专业技术职务    /职业资格证书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行政职务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主讲课程                  /教学专业领域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所属院（系）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备注1              （1. 思政课；2. 创新创业）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after="20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widowControl/>
              <w:adjustRightInd w:val="0"/>
              <w:snapToGrid w:val="0"/>
              <w:spacing w:after="200" w:line="24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/>
        <w:adjustRightInd/>
        <w:snapToGrid/>
        <w:spacing w:after="200" w:line="220" w:lineRule="atLeast"/>
        <w:jc w:val="left"/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</w:rPr>
        <w:t>备注：备注1填写“1. 思政课”或“2. 创新创业”，不属于这两类的无需填写。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豆岛墨陌肥圆手写简 常规">
    <w:panose1 w:val="02010600030101010101"/>
    <w:charset w:val="86"/>
    <w:family w:val="auto"/>
    <w:pitch w:val="default"/>
    <w:sig w:usb0="20000003" w:usb1="2ADF3C1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322B"/>
    <w:rsid w:val="04F829AF"/>
    <w:rsid w:val="41AF322B"/>
    <w:rsid w:val="489258E7"/>
    <w:rsid w:val="6B94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asciiTheme="minorAscii" w:hAnsiTheme="minorAscii"/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2020-12-11T11:57:00Z</dcterms:created>
  <dc:creator>令月十一</dc:creator>
  <cp:lastModifiedBy>令月十一</cp:lastModifiedBy>
  <dcterms:modified xsi:type="dcterms:W3CDTF">2020-12-11T12:03:52Z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