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93" w:rsidRDefault="00903693" w:rsidP="00903693">
      <w:pPr>
        <w:rPr>
          <w:rFonts w:ascii="黑体" w:eastAsia="黑体" w:hAnsi="宋体" w:hint="eastAsia"/>
          <w:szCs w:val="32"/>
        </w:rPr>
      </w:pPr>
      <w:r>
        <w:rPr>
          <w:rFonts w:ascii="黑体" w:eastAsia="黑体" w:hAnsi="宋体"/>
          <w:szCs w:val="32"/>
        </w:rPr>
        <w:t>附件</w:t>
      </w:r>
      <w:r>
        <w:rPr>
          <w:rFonts w:ascii="黑体" w:eastAsia="黑体" w:hAnsi="宋体" w:hint="eastAsia"/>
          <w:szCs w:val="32"/>
        </w:rPr>
        <w:t>1</w:t>
      </w:r>
    </w:p>
    <w:p w:rsidR="00903693" w:rsidRDefault="00903693" w:rsidP="00903693">
      <w:pPr>
        <w:rPr>
          <w:rFonts w:ascii="黑体" w:eastAsia="黑体" w:hAnsi="宋体"/>
          <w:szCs w:val="32"/>
        </w:rPr>
      </w:pPr>
      <w:bookmarkStart w:id="0" w:name="_GoBack"/>
      <w:bookmarkEnd w:id="0"/>
    </w:p>
    <w:p w:rsidR="00903693" w:rsidRDefault="00903693" w:rsidP="00903693">
      <w:pPr>
        <w:spacing w:line="440" w:lineRule="exact"/>
        <w:jc w:val="center"/>
        <w:rPr>
          <w:rFonts w:ascii="宋体" w:eastAsia="宋体" w:hAnsi="宋体"/>
          <w:sz w:val="28"/>
        </w:rPr>
      </w:pPr>
      <w:r>
        <w:rPr>
          <w:rFonts w:ascii="方正小标宋简体" w:eastAsia="方正小标宋简体" w:hint="eastAsia"/>
          <w:sz w:val="40"/>
        </w:rPr>
        <w:t>滨州医学院2022年教改研究项目申报指南</w:t>
      </w:r>
    </w:p>
    <w:p w:rsidR="00903693" w:rsidRDefault="00903693" w:rsidP="00903693">
      <w:pPr>
        <w:spacing w:line="440" w:lineRule="exact"/>
        <w:ind w:firstLineChars="200" w:firstLine="562"/>
        <w:rPr>
          <w:rFonts w:ascii="宋体" w:eastAsia="宋体" w:hAnsi="宋体"/>
          <w:b/>
          <w:sz w:val="28"/>
        </w:rPr>
      </w:pPr>
    </w:p>
    <w:p w:rsidR="00903693" w:rsidRDefault="00903693" w:rsidP="00903693">
      <w:pPr>
        <w:widowControl/>
        <w:adjustRightInd w:val="0"/>
        <w:snapToGrid w:val="0"/>
        <w:spacing w:line="480" w:lineRule="exact"/>
        <w:ind w:firstLine="561"/>
        <w:rPr>
          <w:rFonts w:ascii="仿宋_GB2312" w:hAnsi="仿宋_GB2312" w:cs="仿宋_GB2312" w:hint="eastAsia"/>
          <w:bCs/>
          <w:sz w:val="28"/>
          <w:szCs w:val="28"/>
        </w:rPr>
      </w:pPr>
      <w:r>
        <w:rPr>
          <w:rFonts w:ascii="仿宋_GB2312" w:hAnsi="仿宋_GB2312" w:cs="仿宋_GB2312" w:hint="eastAsia"/>
          <w:bCs/>
          <w:sz w:val="28"/>
          <w:szCs w:val="28"/>
        </w:rPr>
        <w:t>为做好学校高等教育教学改革研究项目立项工作，特制定本指南。指南列出的内容供各申报者参考，其研究内容主要设计高等教育教学改革与发展方向，非具体的项目名称。申报者根据本指南，结合</w:t>
      </w:r>
      <w:r w:rsidRPr="007317F8">
        <w:rPr>
          <w:rFonts w:ascii="仿宋_GB2312" w:hAnsi="仿宋_GB2312" w:cs="仿宋_GB2312" w:hint="eastAsia"/>
          <w:bCs/>
          <w:sz w:val="28"/>
          <w:szCs w:val="28"/>
        </w:rPr>
        <w:t>我省和学校高</w:t>
      </w:r>
      <w:r>
        <w:rPr>
          <w:rFonts w:ascii="仿宋_GB2312" w:hAnsi="仿宋_GB2312" w:cs="仿宋_GB2312" w:hint="eastAsia"/>
          <w:bCs/>
          <w:sz w:val="28"/>
          <w:szCs w:val="28"/>
        </w:rPr>
        <w:t>等教育发展实际，确定项目名称和研究内容。</w:t>
      </w:r>
    </w:p>
    <w:p w:rsidR="00903693" w:rsidRDefault="00903693" w:rsidP="00903693">
      <w:pPr>
        <w:widowControl/>
        <w:adjustRightInd w:val="0"/>
        <w:snapToGrid w:val="0"/>
        <w:spacing w:line="480" w:lineRule="exact"/>
        <w:ind w:firstLine="561"/>
        <w:rPr>
          <w:rFonts w:ascii="仿宋_GB2312" w:hAnsi="仿宋_GB2312" w:cs="仿宋_GB2312" w:hint="eastAsia"/>
          <w:bCs/>
          <w:sz w:val="28"/>
          <w:szCs w:val="28"/>
        </w:rPr>
      </w:pPr>
    </w:p>
    <w:tbl>
      <w:tblPr>
        <w:tblW w:w="9339"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7662"/>
      </w:tblGrid>
      <w:tr w:rsidR="00903693" w:rsidTr="00903693">
        <w:trPr>
          <w:trHeight w:val="622"/>
          <w:jc w:val="center"/>
        </w:trPr>
        <w:tc>
          <w:tcPr>
            <w:tcW w:w="1677" w:type="dxa"/>
            <w:vAlign w:val="center"/>
          </w:tcPr>
          <w:p w:rsidR="00903693" w:rsidRDefault="00903693" w:rsidP="00903693">
            <w:pPr>
              <w:widowControl/>
              <w:adjustRightInd w:val="0"/>
              <w:snapToGrid w:val="0"/>
              <w:spacing w:line="600" w:lineRule="exact"/>
              <w:jc w:val="center"/>
              <w:rPr>
                <w:rFonts w:ascii="黑体" w:eastAsia="黑体" w:hAnsi="黑体" w:cs="黑体" w:hint="eastAsia"/>
                <w:bCs/>
                <w:sz w:val="28"/>
                <w:szCs w:val="28"/>
              </w:rPr>
            </w:pPr>
            <w:r>
              <w:rPr>
                <w:rFonts w:ascii="黑体" w:eastAsia="黑体" w:hAnsi="黑体" w:cs="黑体" w:hint="eastAsia"/>
                <w:bCs/>
                <w:sz w:val="28"/>
                <w:szCs w:val="28"/>
              </w:rPr>
              <w:t>选题编号</w:t>
            </w:r>
          </w:p>
        </w:tc>
        <w:tc>
          <w:tcPr>
            <w:tcW w:w="7662" w:type="dxa"/>
            <w:vAlign w:val="center"/>
          </w:tcPr>
          <w:p w:rsidR="00903693" w:rsidRDefault="00903693" w:rsidP="00903693">
            <w:pPr>
              <w:widowControl/>
              <w:adjustRightInd w:val="0"/>
              <w:snapToGrid w:val="0"/>
              <w:spacing w:line="600" w:lineRule="exact"/>
              <w:jc w:val="center"/>
              <w:rPr>
                <w:rFonts w:ascii="黑体" w:eastAsia="黑体" w:hAnsi="黑体" w:cs="黑体" w:hint="eastAsia"/>
                <w:bCs/>
                <w:sz w:val="28"/>
                <w:szCs w:val="28"/>
              </w:rPr>
            </w:pPr>
            <w:r>
              <w:rPr>
                <w:rFonts w:ascii="黑体" w:eastAsia="黑体" w:hAnsi="黑体" w:cs="黑体" w:hint="eastAsia"/>
                <w:bCs/>
                <w:sz w:val="28"/>
                <w:szCs w:val="28"/>
              </w:rPr>
              <w:t>选题内容</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黑体" w:eastAsia="黑体" w:hAnsi="黑体" w:cs="黑体" w:hint="eastAsia"/>
                <w:bCs/>
                <w:sz w:val="28"/>
                <w:szCs w:val="28"/>
              </w:rPr>
              <w:t>本科教育BK</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b/>
                <w:sz w:val="28"/>
                <w:szCs w:val="28"/>
              </w:rPr>
              <w:t>A.高等教育发展战略研究和本科教育综合改革研究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A01</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山东省高等教育发展战略研究和山东省高等教育竞争力研究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bCs/>
                <w:sz w:val="28"/>
                <w:szCs w:val="28"/>
              </w:rPr>
              <w:t>A02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山东省高等教育内涵发展的路径研究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bCs/>
                <w:sz w:val="28"/>
                <w:szCs w:val="28"/>
              </w:rPr>
              <w:t>A03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color w:val="000000"/>
                <w:kern w:val="0"/>
                <w:sz w:val="28"/>
                <w:szCs w:val="28"/>
                <w:lang w:bidi="ar"/>
              </w:rPr>
              <w:t>高校优化学科专业结构服务区域地方经济发展研究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bCs/>
                <w:sz w:val="28"/>
                <w:szCs w:val="28"/>
              </w:rPr>
              <w:t>A04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高校治理体系和治理能力现代化研究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bCs/>
                <w:sz w:val="28"/>
                <w:szCs w:val="28"/>
              </w:rPr>
              <w:t>A05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高校创新产学研合作机制研究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A06</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高校科教融合机制研究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A07</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高校多学科交叉融合机制研究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A08</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现代产业学院发展探索与研究</w:t>
            </w:r>
          </w:p>
        </w:tc>
      </w:tr>
      <w:tr w:rsidR="00903693" w:rsidTr="00903693">
        <w:trPr>
          <w:trHeight w:val="636"/>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A09</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bCs/>
                <w:sz w:val="28"/>
                <w:szCs w:val="28"/>
              </w:rPr>
            </w:pPr>
            <w:r>
              <w:rPr>
                <w:rFonts w:ascii="仿宋_GB2312" w:hAnsi="仿宋_GB2312" w:cs="仿宋_GB2312" w:hint="eastAsia"/>
                <w:color w:val="000000"/>
                <w:kern w:val="0"/>
                <w:sz w:val="28"/>
                <w:szCs w:val="28"/>
                <w:lang w:bidi="ar"/>
              </w:rPr>
              <w:t>跨校际、跨学科、跨专业培养一流本科人才的研究与实践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A10</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高校本科招生-培养-就业联动机制的构建与实践研究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B.</w:t>
            </w:r>
            <w:proofErr w:type="gramStart"/>
            <w:r>
              <w:rPr>
                <w:rFonts w:ascii="仿宋_GB2312" w:hAnsi="仿宋_GB2312" w:cs="仿宋_GB2312" w:hint="eastAsia"/>
                <w:b/>
                <w:bCs/>
                <w:color w:val="000000"/>
                <w:kern w:val="0"/>
                <w:sz w:val="28"/>
                <w:szCs w:val="28"/>
                <w:lang w:bidi="ar"/>
              </w:rPr>
              <w:t>课程思政建设</w:t>
            </w:r>
            <w:proofErr w:type="gramEnd"/>
            <w:r>
              <w:rPr>
                <w:rFonts w:ascii="仿宋_GB2312" w:hAnsi="仿宋_GB2312" w:cs="仿宋_GB2312" w:hint="eastAsia"/>
                <w:b/>
                <w:bCs/>
                <w:color w:val="000000"/>
                <w:kern w:val="0"/>
                <w:sz w:val="28"/>
                <w:szCs w:val="28"/>
                <w:lang w:bidi="ar"/>
              </w:rPr>
              <w:t>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lastRenderedPageBreak/>
              <w:t>B01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课程</w:t>
            </w:r>
            <w:proofErr w:type="gramStart"/>
            <w:r>
              <w:rPr>
                <w:rFonts w:ascii="仿宋_GB2312" w:hAnsi="仿宋_GB2312" w:cs="仿宋_GB2312" w:hint="eastAsia"/>
                <w:color w:val="000000"/>
                <w:kern w:val="0"/>
                <w:sz w:val="28"/>
                <w:szCs w:val="28"/>
                <w:lang w:bidi="ar"/>
              </w:rPr>
              <w:t>思政教学</w:t>
            </w:r>
            <w:proofErr w:type="gramEnd"/>
            <w:r>
              <w:rPr>
                <w:rFonts w:ascii="仿宋_GB2312" w:hAnsi="仿宋_GB2312" w:cs="仿宋_GB2312" w:hint="eastAsia"/>
                <w:color w:val="000000"/>
                <w:kern w:val="0"/>
                <w:sz w:val="28"/>
                <w:szCs w:val="28"/>
                <w:lang w:bidi="ar"/>
              </w:rPr>
              <w:t>体系的建设与研究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推进社会主义核心价值观教育、法治教育、劳动教育、心理健康教育、中华优秀传统文化教育的研究与实践</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360" w:lineRule="exact"/>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B03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基于专业特点</w:t>
            </w:r>
            <w:proofErr w:type="gramStart"/>
            <w:r>
              <w:rPr>
                <w:rFonts w:ascii="仿宋_GB2312" w:hAnsi="仿宋_GB2312" w:cs="仿宋_GB2312" w:hint="eastAsia"/>
                <w:color w:val="000000"/>
                <w:kern w:val="0"/>
                <w:sz w:val="28"/>
                <w:szCs w:val="28"/>
                <w:lang w:bidi="ar"/>
              </w:rPr>
              <w:t>推进思政元素</w:t>
            </w:r>
            <w:proofErr w:type="gramEnd"/>
            <w:r>
              <w:rPr>
                <w:rFonts w:ascii="仿宋_GB2312" w:hAnsi="仿宋_GB2312" w:cs="仿宋_GB2312" w:hint="eastAsia"/>
                <w:color w:val="000000"/>
                <w:kern w:val="0"/>
                <w:sz w:val="28"/>
                <w:szCs w:val="28"/>
                <w:lang w:bidi="ar"/>
              </w:rPr>
              <w:t>融入课程教学的改革和创新研究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proofErr w:type="gramStart"/>
            <w:r>
              <w:rPr>
                <w:rFonts w:ascii="仿宋_GB2312" w:hAnsi="仿宋_GB2312" w:cs="仿宋_GB2312" w:hint="eastAsia"/>
                <w:color w:val="000000"/>
                <w:kern w:val="0"/>
                <w:sz w:val="28"/>
                <w:szCs w:val="28"/>
                <w:lang w:bidi="ar"/>
              </w:rPr>
              <w:t>课程思政建设</w:t>
            </w:r>
            <w:proofErr w:type="gramEnd"/>
            <w:r>
              <w:rPr>
                <w:rFonts w:ascii="仿宋_GB2312" w:hAnsi="仿宋_GB2312" w:cs="仿宋_GB2312" w:hint="eastAsia"/>
                <w:color w:val="000000"/>
                <w:kern w:val="0"/>
                <w:sz w:val="28"/>
                <w:szCs w:val="28"/>
                <w:lang w:bidi="ar"/>
              </w:rPr>
              <w:t>质量评价体系和激励机制的探索与研究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B05</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推进教师</w:t>
            </w:r>
            <w:proofErr w:type="gramStart"/>
            <w:r>
              <w:rPr>
                <w:rFonts w:ascii="仿宋_GB2312" w:hAnsi="仿宋_GB2312" w:cs="仿宋_GB2312" w:hint="eastAsia"/>
                <w:color w:val="000000"/>
                <w:kern w:val="0"/>
                <w:sz w:val="28"/>
                <w:szCs w:val="28"/>
                <w:lang w:bidi="ar"/>
              </w:rPr>
              <w:t>思政能力</w:t>
            </w:r>
            <w:proofErr w:type="gramEnd"/>
            <w:r>
              <w:rPr>
                <w:rFonts w:ascii="仿宋_GB2312" w:hAnsi="仿宋_GB2312" w:cs="仿宋_GB2312" w:hint="eastAsia"/>
                <w:color w:val="000000"/>
                <w:kern w:val="0"/>
                <w:sz w:val="28"/>
                <w:szCs w:val="28"/>
                <w:lang w:bidi="ar"/>
              </w:rPr>
              <w:t>建设的机制研究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B06</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proofErr w:type="gramStart"/>
            <w:r>
              <w:rPr>
                <w:rFonts w:ascii="仿宋_GB2312" w:hAnsi="仿宋_GB2312" w:cs="仿宋_GB2312" w:hint="eastAsia"/>
                <w:color w:val="000000"/>
                <w:kern w:val="0"/>
                <w:sz w:val="28"/>
                <w:szCs w:val="28"/>
                <w:lang w:bidi="ar"/>
              </w:rPr>
              <w:t>课程思政融入</w:t>
            </w:r>
            <w:proofErr w:type="gramEnd"/>
            <w:r>
              <w:rPr>
                <w:rFonts w:ascii="仿宋_GB2312" w:hAnsi="仿宋_GB2312" w:cs="仿宋_GB2312" w:hint="eastAsia"/>
                <w:color w:val="000000"/>
                <w:kern w:val="0"/>
                <w:sz w:val="28"/>
                <w:szCs w:val="28"/>
                <w:lang w:bidi="ar"/>
              </w:rPr>
              <w:t>课堂教学全过程的方法途径探索与实践</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C.</w:t>
            </w:r>
            <w:r>
              <w:rPr>
                <w:rFonts w:ascii="仿宋_GB2312" w:hAnsi="仿宋_GB2312" w:cs="仿宋_GB2312" w:hint="eastAsia"/>
                <w:b/>
                <w:bCs/>
                <w:color w:val="000000"/>
                <w:kern w:val="0"/>
                <w:sz w:val="28"/>
                <w:szCs w:val="28"/>
                <w:lang w:bidi="ar"/>
              </w:rPr>
              <w:t>人才培养模式改革与创新研究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C01</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复合型、创新型、应用型人才培养体系研究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通识教育教学内容与体系建设研究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各类拔尖创新型、卓越人才培养模式改革与创新研究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C04</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基于学生自主学习能力培养和个性化教学的人才培养模式研究与实践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本科实践教学模式及运行机制创新研究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C06</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proofErr w:type="gramStart"/>
            <w:r>
              <w:rPr>
                <w:rFonts w:ascii="仿宋_GB2312" w:hAnsi="仿宋_GB2312" w:cs="仿宋_GB2312" w:hint="eastAsia"/>
                <w:color w:val="000000"/>
                <w:kern w:val="0"/>
                <w:sz w:val="28"/>
                <w:szCs w:val="28"/>
                <w:lang w:bidi="ar"/>
              </w:rPr>
              <w:t>微专业</w:t>
            </w:r>
            <w:proofErr w:type="gramEnd"/>
            <w:r>
              <w:rPr>
                <w:rFonts w:ascii="仿宋_GB2312" w:hAnsi="仿宋_GB2312" w:cs="仿宋_GB2312" w:hint="eastAsia"/>
                <w:color w:val="000000"/>
                <w:kern w:val="0"/>
                <w:sz w:val="28"/>
                <w:szCs w:val="28"/>
                <w:lang w:bidi="ar"/>
              </w:rPr>
              <w:t>的建设及改革研究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C07</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校企、校院（所）协同育人机制研究及产学研用合作育人研究与实践</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C08</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校企合作产教融合实践研究（高校教师与行业企业专家互聘和联合编写教材、教学案例等）</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C09</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国际视野及国际化人才培养模式的研究与实践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C10</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体育教育、美育教育、劳动教育模式创新研究</w:t>
            </w:r>
          </w:p>
        </w:tc>
      </w:tr>
      <w:tr w:rsidR="00903693" w:rsidTr="00903693">
        <w:trPr>
          <w:trHeight w:val="607"/>
          <w:jc w:val="center"/>
        </w:trPr>
        <w:tc>
          <w:tcPr>
            <w:tcW w:w="9339" w:type="dxa"/>
            <w:gridSpan w:val="2"/>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b/>
                <w:bCs/>
                <w:color w:val="000000"/>
                <w:kern w:val="0"/>
                <w:sz w:val="28"/>
                <w:szCs w:val="28"/>
                <w:lang w:bidi="ar"/>
              </w:rPr>
              <w:t>D.新工科、新医科、新文科的理论与实践研究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D01</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四新建设背景下教育新理念和人才培养新体系的研究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四新建设背景下传统专业更新、迭代和升级的研究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多学科交叉复合的新兴工、</w:t>
            </w:r>
            <w:proofErr w:type="gramStart"/>
            <w:r>
              <w:rPr>
                <w:rFonts w:ascii="仿宋_GB2312" w:hAnsi="仿宋_GB2312" w:cs="仿宋_GB2312" w:hint="eastAsia"/>
                <w:color w:val="000000"/>
                <w:kern w:val="0"/>
                <w:sz w:val="28"/>
                <w:szCs w:val="28"/>
                <w:lang w:bidi="ar"/>
              </w:rPr>
              <w:t>医</w:t>
            </w:r>
            <w:proofErr w:type="gramEnd"/>
            <w:r>
              <w:rPr>
                <w:rFonts w:ascii="仿宋_GB2312" w:hAnsi="仿宋_GB2312" w:cs="仿宋_GB2312" w:hint="eastAsia"/>
                <w:color w:val="000000"/>
                <w:kern w:val="0"/>
                <w:sz w:val="28"/>
                <w:szCs w:val="28"/>
                <w:lang w:bidi="ar"/>
              </w:rPr>
              <w:t>、文科专业建设研究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lastRenderedPageBreak/>
              <w:t>D04</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新工科、新医科、新文科建设实践案例研究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b/>
                <w:bCs/>
                <w:color w:val="000000"/>
                <w:kern w:val="0"/>
                <w:sz w:val="28"/>
                <w:szCs w:val="28"/>
                <w:lang w:bidi="ar"/>
              </w:rPr>
              <w:t>E.专业与课程体系建设和改革</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E01</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国内外大学本科专业建设特色比较研究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国家高水平本科专业建设研究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基于区域产业发展需求的专业结构优化研究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E04</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基于区域产业发展需求的专业群建设研究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E05</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品牌特色专业建设及紧缺专业和新设专业建设研究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E06</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专业设置、调整、优化、管理、评估和评价机制的研究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E07</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人才培养与产业需求对接的监测预警机制研究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E08</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一流本科课程建设与应用的理论研究与实践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E09</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创新创业教育课程体系建设研究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E10</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双语课程建设及双语教学改革的研究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E11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国内外优质课程教学资源共享研究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E12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课程的准入、建设、评价与淘汰机制研究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E13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产学合作新课程的开发和新形态教材建设研究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E14</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“马工程”重点教材的应用与研究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F.教师队伍建设与教师教学能力提升</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F01</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教学团队建设与优秀教学团队形成机制研究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基层教学组织（虚拟教研室、基础与临床教学团队融合）建设研究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教师教学能力和实践能力提升方式与途径研究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F04</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教师发展中心建设与中青年教师培训实践与研究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lastRenderedPageBreak/>
              <w:t>F05</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教风与学风建设研究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F06</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教师教学能力评价方法实践与研究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F07</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教师教学激励机制研究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F08</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教学名师培养和名师工作室建设研究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F09</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“双师型”教师队伍建设与管理研究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G.教学内容更新与教学方法改革</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课堂教学改革系统化设计与实施</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基于创新人才培养的教学内容更新研究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基于能力培养的课堂教学手段与方法改革研究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与职业（行业）标准相衔接的课程与教学内容体系研究</w:t>
            </w:r>
          </w:p>
        </w:tc>
      </w:tr>
      <w:tr w:rsidR="00903693" w:rsidTr="00903693">
        <w:trPr>
          <w:trHeight w:val="689"/>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G05</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案例式、启发式、探究式、讨论式等教学方法的研究与实践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G06</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公共基础课教学改革研究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G07</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教学资源库和试题库建设应用与研究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G08</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基于移动互联网络环境的学习模式研究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H.实践教学改革与大学生创新能力培养</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H01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优化实践教学体系和运行模式研究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H02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加强实践课程教师队伍建设研究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H03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实验教学示范中心和虚拟仿真实验中心建设管理与运行机制研究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H04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大学生创新创业教育与就业、创业能力研究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H05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大学生创新创业教育基地建设的研究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H06</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第二课堂与大学生创新能力培养研究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lastRenderedPageBreak/>
              <w:t>I.本科教育教学制度改革研究与实践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I01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本科生学业导师制度的实践与研究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I02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校际学分互认与转化实践的研究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I03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跨校联合人才培养、区域教学联合体建设与研究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I04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高校间优质教学资源的建设与共享机制研究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J.高校教学质量管理及保障、监控机制和体系研究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本科专业类教学质量国家标准实施研究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提升学业挑战度、完善学业考评制度的研究与实践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严格课堂教学管理与课堂改革方面的研究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专业人才培养质量评价体系及评价方法研究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教学督导工作研究</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J06</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教学状态和教学质量监测常态化、信息化的研究与实践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J07</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教学质量管理体制、质量监控体系和保障体系的研究</w:t>
            </w:r>
          </w:p>
        </w:tc>
      </w:tr>
      <w:tr w:rsidR="00903693" w:rsidTr="00903693">
        <w:trPr>
          <w:trHeight w:val="622"/>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K.高等教育信息化研究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K01</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信息技术与教育教学的深度融合的研究与实践（在线开放课程建设、翻转课堂等）</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K02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教学管理数字化、信息化建设研究与实践</w:t>
            </w:r>
          </w:p>
        </w:tc>
      </w:tr>
      <w:tr w:rsidR="00903693" w:rsidTr="00903693">
        <w:trPr>
          <w:trHeight w:val="622"/>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K03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教学资源平台建设与管理研究</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黑体" w:eastAsia="黑体" w:hAnsi="黑体" w:cs="黑体" w:hint="eastAsia"/>
                <w:color w:val="000000"/>
                <w:kern w:val="0"/>
                <w:sz w:val="28"/>
                <w:szCs w:val="28"/>
                <w:lang w:bidi="ar"/>
              </w:rPr>
              <w:t>研究生教育YJ</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A.理论与发展规律研究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学位与研究生教育高质量发展政策和路径研究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研究生分类培养模式改革</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lastRenderedPageBreak/>
              <w:t>A03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研究生思想政治教育和党建工作理论研究与实践</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研究生“课程思政”建设实践</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A05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研究生教育科教（产教）融合、协同育人实践</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b/>
                <w:bCs/>
                <w:color w:val="000000"/>
                <w:kern w:val="0"/>
                <w:sz w:val="28"/>
                <w:szCs w:val="28"/>
                <w:lang w:bidi="ar"/>
              </w:rPr>
              <w:t>B.质量保障体系研究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研究生教育质量保障体系研究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专业学位或学术学位研究生教育评价标准体系研究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专业学位研究生实践基地建设标准</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研究生毕业职业发展质量研究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B05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同等学力授予学位的质量保障</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C.研究生培养模式研究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研究生分类培养模式研究与实践</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C02</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学术学位或专业学位培养的定位、功能、特征分析及培养特殊性研究</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C03</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学术学位或专业学位研究生课程教学体系建设、教学方式改革研究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研究生分类培养过程管理研究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研究生创新能力、职业发展能力提升研究与实践</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C06</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专业学位研究生职业素养培育路径研究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C07</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学科交叉人才培养体系及联合培养机制研究与经验探索</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C08</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研究生学位论文质量管理研究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C09</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研究生教育国际化推进策略和路径研究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C10</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非全日制研究生培养研究与实践</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b/>
                <w:bCs/>
                <w:color w:val="000000"/>
                <w:kern w:val="0"/>
                <w:sz w:val="28"/>
                <w:szCs w:val="28"/>
                <w:lang w:bidi="ar"/>
              </w:rPr>
              <w:t>D.研究生导师队伍建设研究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lastRenderedPageBreak/>
              <w:t>D01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研究生导师培训研究和实践</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高水平研究生导师团队建设机制研究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研究生导师的遴选、职责、考核、评价及激励机制研究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D04</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研究生导师如何处理好课题研究与人才培养的关系</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D05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不同类型研究生导师的核心能力和岗位要求</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E.研究生“立德树人”教育研究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全面落实研究生导师立德树人职责路径研究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研究生人文素养研究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E03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研究生心理评价研究</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b/>
                <w:bCs/>
                <w:color w:val="000000"/>
                <w:kern w:val="0"/>
                <w:sz w:val="28"/>
                <w:szCs w:val="28"/>
                <w:lang w:bidi="ar"/>
              </w:rPr>
              <w:t>F.研究生“思想政治”教育研究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提升研究生思想政治教育质量有效形式和长效机制研究</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研究生科技学术文化建设研究与实践</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研究生学术道德和学风建设研究与实践</w:t>
            </w:r>
          </w:p>
        </w:tc>
      </w:tr>
      <w:tr w:rsidR="00903693" w:rsidTr="00903693">
        <w:trPr>
          <w:trHeight w:val="743"/>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F04</w:t>
            </w:r>
          </w:p>
        </w:tc>
        <w:tc>
          <w:tcPr>
            <w:tcW w:w="7662" w:type="dxa"/>
            <w:vAlign w:val="center"/>
          </w:tcPr>
          <w:p w:rsidR="00903693" w:rsidRDefault="00903693" w:rsidP="006106AA">
            <w:pPr>
              <w:widowControl/>
              <w:adjustRightInd w:val="0"/>
              <w:snapToGrid w:val="0"/>
              <w:spacing w:line="36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研究生党组织建设及发挥党员群体引领示范作用的创新与实践</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F05</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研究生思想政治与心理健康教育研究与实践</w:t>
            </w:r>
          </w:p>
        </w:tc>
      </w:tr>
      <w:tr w:rsidR="00903693" w:rsidTr="00903693">
        <w:trPr>
          <w:trHeight w:val="624"/>
          <w:jc w:val="center"/>
        </w:trPr>
        <w:tc>
          <w:tcPr>
            <w:tcW w:w="9339" w:type="dxa"/>
            <w:gridSpan w:val="2"/>
            <w:vAlign w:val="center"/>
          </w:tcPr>
          <w:p w:rsidR="00903693" w:rsidRDefault="00903693" w:rsidP="006106AA">
            <w:pPr>
              <w:widowControl/>
              <w:adjustRightInd w:val="0"/>
              <w:snapToGrid w:val="0"/>
              <w:spacing w:line="600" w:lineRule="exact"/>
              <w:rPr>
                <w:rFonts w:ascii="仿宋_GB2312" w:hAnsi="仿宋_GB2312" w:cs="仿宋_GB2312"/>
                <w:color w:val="000000"/>
                <w:kern w:val="0"/>
                <w:sz w:val="28"/>
                <w:szCs w:val="28"/>
                <w:lang w:bidi="ar"/>
              </w:rPr>
            </w:pPr>
            <w:r>
              <w:rPr>
                <w:rFonts w:ascii="仿宋_GB2312" w:hAnsi="仿宋_GB2312" w:cs="仿宋_GB2312" w:hint="eastAsia"/>
                <w:b/>
                <w:bCs/>
                <w:color w:val="000000"/>
                <w:kern w:val="0"/>
                <w:sz w:val="28"/>
                <w:szCs w:val="28"/>
                <w:lang w:bidi="ar"/>
              </w:rPr>
              <w:t>G.研究生教育新医科建设</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G01</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新医科背景下课程体系建设</w:t>
            </w:r>
          </w:p>
        </w:tc>
      </w:tr>
      <w:tr w:rsidR="00903693" w:rsidTr="00903693">
        <w:trPr>
          <w:trHeight w:val="624"/>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G02</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新医科背景下人才培养模式改革与实践</w:t>
            </w:r>
          </w:p>
        </w:tc>
      </w:tr>
      <w:tr w:rsidR="00903693" w:rsidTr="00903693">
        <w:trPr>
          <w:trHeight w:val="651"/>
          <w:jc w:val="center"/>
        </w:trPr>
        <w:tc>
          <w:tcPr>
            <w:tcW w:w="1677" w:type="dxa"/>
            <w:vAlign w:val="center"/>
          </w:tcPr>
          <w:p w:rsidR="00903693" w:rsidRDefault="00903693" w:rsidP="006106AA">
            <w:pPr>
              <w:widowControl/>
              <w:adjustRightInd w:val="0"/>
              <w:snapToGrid w:val="0"/>
              <w:spacing w:line="600" w:lineRule="exact"/>
              <w:rPr>
                <w:rFonts w:ascii="仿宋_GB2312" w:hAnsi="仿宋_GB2312" w:cs="仿宋_GB2312"/>
                <w:bCs/>
                <w:sz w:val="28"/>
                <w:szCs w:val="28"/>
              </w:rPr>
            </w:pPr>
            <w:r>
              <w:rPr>
                <w:rFonts w:ascii="仿宋_GB2312" w:hAnsi="仿宋_GB2312" w:cs="仿宋_GB2312" w:hint="eastAsia"/>
                <w:bCs/>
                <w:sz w:val="28"/>
                <w:szCs w:val="28"/>
              </w:rPr>
              <w:t>G03</w:t>
            </w:r>
          </w:p>
        </w:tc>
        <w:tc>
          <w:tcPr>
            <w:tcW w:w="7662" w:type="dxa"/>
            <w:vAlign w:val="center"/>
          </w:tcPr>
          <w:p w:rsidR="00903693" w:rsidRDefault="00903693" w:rsidP="006106AA">
            <w:pPr>
              <w:widowControl/>
              <w:adjustRightInd w:val="0"/>
              <w:snapToGrid w:val="0"/>
              <w:spacing w:line="600" w:lineRule="exact"/>
              <w:rPr>
                <w:rFonts w:ascii="仿宋_GB2312" w:hAnsi="仿宋_GB2312" w:cs="仿宋_GB2312" w:hint="eastAsia"/>
                <w:color w:val="000000"/>
                <w:kern w:val="0"/>
                <w:sz w:val="28"/>
                <w:szCs w:val="28"/>
                <w:lang w:bidi="ar"/>
              </w:rPr>
            </w:pPr>
            <w:r>
              <w:rPr>
                <w:rFonts w:ascii="仿宋_GB2312" w:hAnsi="仿宋_GB2312" w:cs="仿宋_GB2312" w:hint="eastAsia"/>
                <w:color w:val="000000"/>
                <w:kern w:val="0"/>
                <w:sz w:val="28"/>
                <w:szCs w:val="28"/>
                <w:lang w:bidi="ar"/>
              </w:rPr>
              <w:t>新医科背景下研究生教育评价体系改革与实践</w:t>
            </w:r>
          </w:p>
        </w:tc>
      </w:tr>
    </w:tbl>
    <w:p w:rsidR="00903693" w:rsidRDefault="00903693" w:rsidP="00903693">
      <w:pPr>
        <w:widowControl/>
        <w:rPr>
          <w:rFonts w:ascii="黑体" w:eastAsia="黑体" w:hAnsi="宋体" w:cs="黑体" w:hint="eastAsia"/>
          <w:color w:val="000000"/>
          <w:kern w:val="0"/>
          <w:sz w:val="31"/>
          <w:szCs w:val="31"/>
          <w:lang w:bidi="ar"/>
        </w:rPr>
      </w:pPr>
    </w:p>
    <w:p w:rsidR="00815D96" w:rsidRPr="00903693" w:rsidRDefault="00903693"/>
    <w:sectPr w:rsidR="00815D96" w:rsidRPr="00903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93"/>
    <w:rsid w:val="003D518E"/>
    <w:rsid w:val="007C3E33"/>
    <w:rsid w:val="0090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504</Words>
  <Characters>2877</Characters>
  <Application>Microsoft Office Word</Application>
  <DocSecurity>0</DocSecurity>
  <Lines>23</Lines>
  <Paragraphs>6</Paragraphs>
  <ScaleCrop>false</ScaleCrop>
  <Company>HP</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dc:creator>
  <cp:lastModifiedBy>HP</cp:lastModifiedBy>
  <cp:revision>1</cp:revision>
  <dcterms:created xsi:type="dcterms:W3CDTF">2022-06-13T00:34:00Z</dcterms:created>
  <dcterms:modified xsi:type="dcterms:W3CDTF">2022-06-13T00:36:00Z</dcterms:modified>
</cp:coreProperties>
</file>